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widowControl w:val="0"/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86MS0026-01-2025-000424-76</w:t>
      </w:r>
    </w:p>
    <w:p>
      <w:pPr>
        <w:widowControl w:val="0"/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05-0122/2601/2025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widowControl w:val="0"/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widowControl w:val="0"/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16" w:lineRule="auto"/>
        <w:jc w:val="center"/>
        <w:rPr>
          <w:sz w:val="10"/>
          <w:szCs w:val="10"/>
        </w:rPr>
      </w:pPr>
    </w:p>
    <w:p>
      <w:pPr>
        <w:widowControl w:val="0"/>
        <w:spacing w:before="0" w:after="0" w:line="216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26 февраля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widowControl w:val="0"/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15.33.2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Моисеевой Елены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главный бухгалтер Сургутского ЛО МВД России на транспорте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ул. Привокзальная, д. 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Сургут г, Ханты-Мансийский автономный округ - Югра,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.11.202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несвоевременно посредством телекомм</w:t>
      </w:r>
      <w:r>
        <w:rPr>
          <w:rFonts w:ascii="Times New Roman" w:eastAsia="Times New Roman" w:hAnsi="Times New Roman" w:cs="Times New Roman"/>
          <w:sz w:val="26"/>
          <w:szCs w:val="26"/>
        </w:rPr>
        <w:t>уникационных каналов связи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ставила сведения в ОСФР по ХМАО-Югре о застрахованных лицах по форме ЕФС-1 ГПД, раздел 1, подраздел 1.1 на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застрахованное лицо,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нарушила установленные сроки, предусмотренные п. 6 ст. 11 Федерального Закона от 01.04.1996 г. № 27-ФЗ «Об индивидуальном (персонифицированном) учете в системе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Моисеевой Е.А.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Моисеевой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суду представлены следующие доказательства: протокол об административном правонарушении;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Моисеевой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6 ст. 11 Федерального Закона от 01.04.1996 г. № 27-ФЗ «Об индивидуальном (персонифицированном) учете в системе обязательного пенсионного страхования и обязательного социального страхования» - страхователь представляет сведения,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42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Моисеевой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ст.15.33.2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sub_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Моисееву Елену Анатольевну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Разъяснить, что административный штраф подлежит уплате по следующим реквизитам: Банк получателя -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г. Ханты-Мансийск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Получатель: УФК по Ханты-Мансийскому автономному округу - Югре (ОСФР по ХМАО-Югре, л/с 04874Ф87010), номер счета банка получателя (номер банковского счета, входящего в состав единого казначейского счета, Кор/счет) N 40102810245370000007, ИНН 8601002078, КПП 860101001 БИК ТОФК 007162163, ОКТМО </w:t>
      </w:r>
      <w:r>
        <w:rPr>
          <w:rFonts w:ascii="Times New Roman" w:eastAsia="Times New Roman" w:hAnsi="Times New Roman" w:cs="Times New Roman"/>
          <w:sz w:val="22"/>
          <w:szCs w:val="22"/>
        </w:rPr>
        <w:t>71876000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 платежа (номер казначейского счета Р/счет) – 03100643000000018700, </w:t>
      </w:r>
      <w:r>
        <w:rPr>
          <w:rFonts w:ascii="Times New Roman" w:eastAsia="Times New Roman" w:hAnsi="Times New Roman" w:cs="Times New Roman"/>
          <w:sz w:val="22"/>
          <w:szCs w:val="22"/>
        </w:rPr>
        <w:t>КБК 79711601230060001140 - уплата штрафа по административному правонарушению, предусмотренному ч. 1 ст. 15.33.2 КоАП РФ,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УИН: 79702700000000</w:t>
      </w:r>
      <w:r>
        <w:rPr>
          <w:rFonts w:ascii="Times New Roman" w:eastAsia="Times New Roman" w:hAnsi="Times New Roman" w:cs="Times New Roman"/>
          <w:sz w:val="22"/>
          <w:szCs w:val="22"/>
        </w:rPr>
        <w:t>245886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 квитанции предоставляется в каб.102 дома 9 по ул. Гагарина г. Сургута.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>
      <w:pPr>
        <w:widowControl w:val="0"/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widowControl w:val="0"/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widowControl w:val="0"/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widowControl w:val="0"/>
        <w:spacing w:before="0" w:after="0" w:line="216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widowControl w:val="0"/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widowControl w:val="0"/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1rplc-45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7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45">
    <w:name w:val="cat-UserDefined grp-4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1866/174c0129ec03ec20df9d00e8be07d3090651cc43/" TargetMode="Externa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\\fs\public\2\&#1040;&#1044;&#1052;&#1048;&#1053;&#1048;&#1057;&#1058;&#1056;&#1040;&#1058;&#1048;&#1042;&#1053;&#1067;&#1045;%20&#1044;&#1045;&#1051;&#1040;\2021\13.10.2021\&#1071;&#1082;&#1091;&#1073;&#1077;&#1094;%20&#1042;&#1053;%20-%20&#1095;.%201%20%2015.33.2%20&#1076;&#1086;&#1087;%20&#1092;&#1086;&#1088;&#1084;&#1072;.docx" TargetMode="External" /><Relationship Id="rId7" Type="http://schemas.openxmlformats.org/officeDocument/2006/relationships/hyperlink" Target="http://www.mirsud86.ru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